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21A" w14:textId="3B543ADC" w:rsidR="0022503C" w:rsidRPr="00706E1B" w:rsidRDefault="0022503C" w:rsidP="0022503C">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 xml:space="preserve">Contrôle juridictionnel des actes du Parquet européen – Étude de cas       </w:t>
      </w:r>
    </w:p>
    <w:p w14:paraId="620E43A9" w14:textId="77777777" w:rsidR="00CB674A" w:rsidRPr="0022503C" w:rsidRDefault="00C061C7">
      <w:pPr>
        <w:pStyle w:val="Standard"/>
        <w:rPr>
          <w:rFonts w:ascii="Times New Roman" w:hAnsi="Times New Roman" w:cs="Times New Roman"/>
          <w:sz w:val="24"/>
          <w:szCs w:val="24"/>
        </w:rPr>
      </w:pPr>
      <w:r>
        <w:rPr>
          <w:rFonts w:ascii="Times New Roman" w:hAnsi="Times New Roman"/>
          <w:sz w:val="24"/>
        </w:rPr>
        <w:t xml:space="preserve">       </w:t>
      </w:r>
    </w:p>
    <w:p w14:paraId="5846916B" w14:textId="5B8F68FA"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Q1. Les actes de procédure du Parquet européen qui produisent des effets juridiques à l’égard de tiers sont contrôlés par :</w:t>
      </w:r>
    </w:p>
    <w:p w14:paraId="2645ACB6"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la Cour de justice</w:t>
      </w:r>
    </w:p>
    <w:p w14:paraId="59FF78BD" w14:textId="75C5D12D"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b)</w:t>
      </w:r>
      <w:r>
        <w:rPr>
          <w:rFonts w:ascii="Times New Roman" w:hAnsi="Times New Roman"/>
          <w:color w:val="70AD47" w:themeColor="accent6"/>
          <w:sz w:val="24"/>
        </w:rPr>
        <w:t xml:space="preserve"> les juridictions nationales – bonne réponse – d’après le texte du règlement</w:t>
      </w:r>
    </w:p>
    <w:p w14:paraId="42D67016" w14:textId="7A862095"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la chambre permanente</w:t>
      </w:r>
    </w:p>
    <w:p w14:paraId="3796CD4A" w14:textId="77777777" w:rsidR="00CB674A" w:rsidRPr="0022503C" w:rsidRDefault="00CB674A">
      <w:pPr>
        <w:pStyle w:val="Standard"/>
        <w:rPr>
          <w:rFonts w:ascii="Times New Roman" w:eastAsia="Segoe UI Emoji" w:hAnsi="Times New Roman" w:cs="Times New Roman"/>
          <w:sz w:val="24"/>
          <w:szCs w:val="24"/>
        </w:rPr>
      </w:pPr>
    </w:p>
    <w:p w14:paraId="2F4E6CCC" w14:textId="4260F335"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Q2. Les exigences et procédures de contrôle des actes du Parquet européen sont régies :</w:t>
      </w:r>
    </w:p>
    <w:p w14:paraId="6EB08A93"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par le règlement du Parquet européen</w:t>
      </w:r>
    </w:p>
    <w:p w14:paraId="05C119A6"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par la législation de l’UE sur la compétence de la Cour de justice</w:t>
      </w:r>
    </w:p>
    <w:p w14:paraId="5C01ACAD" w14:textId="50DDE9C4"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c)</w:t>
      </w:r>
      <w:r>
        <w:rPr>
          <w:rFonts w:ascii="Times New Roman" w:hAnsi="Times New Roman"/>
          <w:color w:val="70AD47" w:themeColor="accent6"/>
          <w:sz w:val="24"/>
        </w:rPr>
        <w:t xml:space="preserve"> par le droit national – bonne réponse – d’après le règlement ; le principe est que le droit national régit le contrôle juridictionnel</w:t>
      </w:r>
    </w:p>
    <w:p w14:paraId="166A120E" w14:textId="77777777" w:rsidR="00CB674A" w:rsidRPr="0022503C" w:rsidRDefault="00CB674A">
      <w:pPr>
        <w:pStyle w:val="Standard"/>
        <w:rPr>
          <w:rFonts w:ascii="Times New Roman" w:eastAsia="Segoe UI Emoji" w:hAnsi="Times New Roman" w:cs="Times New Roman"/>
          <w:sz w:val="24"/>
          <w:szCs w:val="24"/>
        </w:rPr>
      </w:pPr>
    </w:p>
    <w:p w14:paraId="7E43512A" w14:textId="359F7BE6"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Q3. Les carences du Parquet européen dans l’adoption d’actes de procédure produisant des effets juridiques à l’égard de tiers et qu’il était légalement tenu d’adopter sont contrôlées par :</w:t>
      </w:r>
    </w:p>
    <w:p w14:paraId="778DAD4B" w14:textId="25D87B8F"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b)</w:t>
      </w:r>
      <w:r>
        <w:rPr>
          <w:rFonts w:ascii="Times New Roman" w:hAnsi="Times New Roman"/>
          <w:color w:val="70AD47" w:themeColor="accent6"/>
          <w:sz w:val="24"/>
        </w:rPr>
        <w:t xml:space="preserve"> les juridictions nationales en vertu du droit national – bonne réponse – d’après le texte du règlement</w:t>
      </w:r>
    </w:p>
    <w:p w14:paraId="113E0BF6"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elles ne font l’objet d’aucun contrôle</w:t>
      </w:r>
    </w:p>
    <w:p w14:paraId="62437020" w14:textId="7D08D152"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la Cour de justice</w:t>
      </w:r>
    </w:p>
    <w:p w14:paraId="503171F0" w14:textId="77777777" w:rsidR="00CB674A" w:rsidRPr="0022503C" w:rsidRDefault="00CB674A">
      <w:pPr>
        <w:pStyle w:val="Standard"/>
        <w:rPr>
          <w:rFonts w:ascii="Times New Roman" w:eastAsia="Segoe UI Emoji" w:hAnsi="Times New Roman" w:cs="Times New Roman"/>
          <w:sz w:val="24"/>
          <w:szCs w:val="24"/>
        </w:rPr>
      </w:pPr>
    </w:p>
    <w:p w14:paraId="13ECD6C3" w14:textId="79470BE0"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Q4. Les actes de procédure concernant le choix de l’État membre dont les juridictions seront compétentes pour entendre les poursuites, sur la base des critères fixés par le règlement du Parquet européen, sont destinés à produire des effets juridiques à l’égard de tiers et doivent donc être soumis à un contrôle juridictionnel :</w:t>
      </w:r>
    </w:p>
    <w:p w14:paraId="7FF7B0C1" w14:textId="4708D874"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a)</w:t>
      </w:r>
      <w:r>
        <w:rPr>
          <w:rFonts w:ascii="Times New Roman" w:hAnsi="Times New Roman"/>
          <w:color w:val="70AD47" w:themeColor="accent6"/>
          <w:sz w:val="24"/>
        </w:rPr>
        <w:t xml:space="preserve"> de la part des juridictions nationales, au moins à la phase du procès – bonne réponse</w:t>
      </w:r>
    </w:p>
    <w:p w14:paraId="5C44EBF9"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de la part la Cour de Justice, car ils peuvent impliquer les juridictions de plusieurs États européens</w:t>
      </w:r>
    </w:p>
    <w:p w14:paraId="5B1DA611"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ils ne sont soumis à aucun contrôle juridictionnel, le règlement du Parquet européen ne contenant aucune disposition à ce sujet</w:t>
      </w:r>
    </w:p>
    <w:p w14:paraId="3A1F77DC" w14:textId="64460B8F" w:rsidR="00CB674A" w:rsidRPr="0022503C" w:rsidRDefault="00EE5F4A" w:rsidP="00EE5F4A">
      <w:pPr>
        <w:rPr>
          <w:rFonts w:ascii="Times New Roman" w:eastAsia="Segoe UI Emoji" w:hAnsi="Times New Roman" w:cs="Times New Roman"/>
          <w:sz w:val="24"/>
          <w:szCs w:val="24"/>
        </w:rPr>
      </w:pPr>
      <w:r>
        <w:br w:type="page"/>
      </w:r>
    </w:p>
    <w:p w14:paraId="03B54B90" w14:textId="6CFE77CE"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lastRenderedPageBreak/>
        <w:t>Q5. Lorsque le droit national prévoit un contrôle juridictionnel des actes de procédure qui ne produisent pas d’effet juridique à l’égard de tiers :</w:t>
      </w:r>
    </w:p>
    <w:p w14:paraId="5D2097F2"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ils ne sont pas contrôlés lorsqu’ils sont adoptés par le Parquet européen, car seuls les actes du Parquet européen produisant des effets juridiques à l’égard de tiers sont susceptibles d’être contrôlés</w:t>
      </w:r>
    </w:p>
    <w:p w14:paraId="46720770"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ils sont contrôlés lors de leur adoption par le Parquet européen, mais uniquement s’ils concernent des questions spécifiques</w:t>
      </w:r>
    </w:p>
    <w:p w14:paraId="1F943C71" w14:textId="4CDEF8B3"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c)</w:t>
      </w:r>
      <w:r>
        <w:rPr>
          <w:rFonts w:ascii="Times New Roman" w:hAnsi="Times New Roman"/>
          <w:color w:val="70AD47" w:themeColor="accent6"/>
          <w:sz w:val="24"/>
        </w:rPr>
        <w:t xml:space="preserve"> le règlement du Parquet européen ne doit pas être interprété comme affectant ces dispositions, par conséquent les actes du Parquet européen doivent être soumis au même régime – bonne réponse</w:t>
      </w:r>
    </w:p>
    <w:p w14:paraId="14DF6BFB" w14:textId="77777777" w:rsidR="00CB674A" w:rsidRPr="0022503C" w:rsidRDefault="00CB674A">
      <w:pPr>
        <w:pStyle w:val="Standard"/>
        <w:rPr>
          <w:rFonts w:ascii="Times New Roman" w:eastAsia="Segoe UI Emoji" w:hAnsi="Times New Roman" w:cs="Times New Roman"/>
          <w:sz w:val="24"/>
          <w:szCs w:val="24"/>
        </w:rPr>
      </w:pPr>
    </w:p>
    <w:p w14:paraId="5A3E471C" w14:textId="0CF0D96C"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Q6. Lorsque les juridictions nationales contrôlent la légalité de ces actes, elles peuvent le faire sur la base :</w:t>
      </w:r>
    </w:p>
    <w:p w14:paraId="223AEF97"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du droit national uniquement</w:t>
      </w:r>
    </w:p>
    <w:p w14:paraId="4A063558"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du droit de l’Union</w:t>
      </w:r>
    </w:p>
    <w:p w14:paraId="6B39415D" w14:textId="606BAED2"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c)</w:t>
      </w:r>
      <w:r>
        <w:rPr>
          <w:rFonts w:ascii="Times New Roman" w:hAnsi="Times New Roman"/>
          <w:color w:val="70AD47" w:themeColor="accent6"/>
          <w:sz w:val="24"/>
        </w:rPr>
        <w:t xml:space="preserve"> du droit de l’Union, en ce compris le règlement du Parquet européen, et également sur la base du droit national – bonne réponse</w:t>
      </w:r>
    </w:p>
    <w:p w14:paraId="0E8D892B" w14:textId="77777777" w:rsidR="00CB674A" w:rsidRPr="0022503C" w:rsidRDefault="00CB674A">
      <w:pPr>
        <w:pStyle w:val="Standard"/>
        <w:rPr>
          <w:rFonts w:ascii="Times New Roman" w:eastAsia="Segoe UI Emoji" w:hAnsi="Times New Roman" w:cs="Times New Roman"/>
          <w:sz w:val="24"/>
          <w:szCs w:val="24"/>
        </w:rPr>
      </w:pPr>
    </w:p>
    <w:p w14:paraId="66D3FE2D" w14:textId="4377FBAA"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Q7. Lorsque les juridictions nationales doutent de la validité des actes du Parquet européen en référence au droit de l’Union :</w:t>
      </w:r>
    </w:p>
    <w:p w14:paraId="6DCAF018" w14:textId="6F1166CF"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a)</w:t>
      </w:r>
      <w:r>
        <w:rPr>
          <w:rFonts w:ascii="Times New Roman" w:hAnsi="Times New Roman"/>
          <w:color w:val="70AD47" w:themeColor="accent6"/>
          <w:sz w:val="24"/>
        </w:rPr>
        <w:t xml:space="preserve"> elles doivent toujours poser des questions préjudicielles à la Cour de justice – bonne réponse</w:t>
      </w:r>
    </w:p>
    <w:p w14:paraId="1D69AA34"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elles peuvent demander au Parquet européen de clarifier la question</w:t>
      </w:r>
    </w:p>
    <w:p w14:paraId="79B34C80" w14:textId="78BBD295" w:rsidR="00CB674A" w:rsidRPr="0022503C" w:rsidRDefault="00A35698"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sidR="00C061C7">
        <w:rPr>
          <w:rFonts w:ascii="Times New Roman" w:hAnsi="Times New Roman"/>
          <w:i/>
          <w:sz w:val="24"/>
        </w:rPr>
        <w:t>)</w:t>
      </w:r>
      <w:r w:rsidR="00C061C7">
        <w:rPr>
          <w:rFonts w:ascii="Times New Roman" w:hAnsi="Times New Roman"/>
          <w:sz w:val="24"/>
        </w:rPr>
        <w:t xml:space="preserve"> elles peuvent poser des questions préjudicielles à la Cour de justice</w:t>
      </w:r>
    </w:p>
    <w:p w14:paraId="5EC87EF7" w14:textId="77777777" w:rsidR="00CB674A" w:rsidRPr="0022503C" w:rsidRDefault="00CB674A">
      <w:pPr>
        <w:pStyle w:val="Standard"/>
        <w:rPr>
          <w:rFonts w:ascii="Times New Roman" w:eastAsia="Segoe UI Emoji" w:hAnsi="Times New Roman" w:cs="Times New Roman"/>
          <w:sz w:val="24"/>
          <w:szCs w:val="24"/>
        </w:rPr>
      </w:pPr>
    </w:p>
    <w:p w14:paraId="4CBBAE5C" w14:textId="68E5B3B9"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Q8. La décision du Parquet européen de classer une affaire sans suite :</w:t>
      </w:r>
    </w:p>
    <w:p w14:paraId="571CD716" w14:textId="77DAF7D1"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est </w:t>
      </w:r>
      <w:r w:rsidR="00836EAB">
        <w:rPr>
          <w:rFonts w:ascii="Times New Roman" w:hAnsi="Times New Roman"/>
          <w:sz w:val="24"/>
        </w:rPr>
        <w:t>soumise au</w:t>
      </w:r>
      <w:r>
        <w:rPr>
          <w:rFonts w:ascii="Times New Roman" w:hAnsi="Times New Roman"/>
          <w:sz w:val="24"/>
        </w:rPr>
        <w:t xml:space="preserve"> contrôle </w:t>
      </w:r>
      <w:r w:rsidR="00836EAB">
        <w:rPr>
          <w:rFonts w:ascii="Times New Roman" w:hAnsi="Times New Roman"/>
          <w:sz w:val="24"/>
        </w:rPr>
        <w:t>de</w:t>
      </w:r>
      <w:r>
        <w:rPr>
          <w:rFonts w:ascii="Times New Roman" w:hAnsi="Times New Roman"/>
          <w:sz w:val="24"/>
        </w:rPr>
        <w:t xml:space="preserve"> la juridiction nationale</w:t>
      </w:r>
    </w:p>
    <w:p w14:paraId="087454C4" w14:textId="172AAB34"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b)</w:t>
      </w:r>
      <w:r>
        <w:rPr>
          <w:rFonts w:ascii="Times New Roman" w:hAnsi="Times New Roman"/>
          <w:color w:val="70AD47" w:themeColor="accent6"/>
          <w:sz w:val="24"/>
        </w:rPr>
        <w:t xml:space="preserve"> est soumise au contrôle de la Cour de justice – bonne réponse</w:t>
      </w:r>
    </w:p>
    <w:p w14:paraId="71E49AA6"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ne peut faire l’objet d’un contrôle par la Cour de justice que lorsque l’affaire concerne plusieurs États européens</w:t>
      </w:r>
    </w:p>
    <w:p w14:paraId="6A0DBC07" w14:textId="77777777" w:rsidR="00CB674A" w:rsidRPr="0022503C" w:rsidRDefault="00CB674A">
      <w:pPr>
        <w:pStyle w:val="Standard"/>
        <w:rPr>
          <w:rFonts w:ascii="Times New Roman" w:eastAsia="Segoe UI Emoji" w:hAnsi="Times New Roman" w:cs="Times New Roman"/>
          <w:sz w:val="24"/>
          <w:szCs w:val="24"/>
        </w:rPr>
      </w:pPr>
    </w:p>
    <w:p w14:paraId="2BF33DC6" w14:textId="2BFBAA27"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Q9. L’interprétation des dispositions sur la compétence du Parquet européen et son exercice en cas de conflit avec les autorités nationales :</w:t>
      </w:r>
    </w:p>
    <w:p w14:paraId="2D95979E" w14:textId="5DD26E48"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a)</w:t>
      </w:r>
      <w:r>
        <w:rPr>
          <w:rFonts w:ascii="Times New Roman" w:hAnsi="Times New Roman"/>
          <w:color w:val="70AD47" w:themeColor="accent6"/>
          <w:sz w:val="24"/>
        </w:rPr>
        <w:t xml:space="preserve"> relève de la juridiction de la Cour de justice – bonne réponse</w:t>
      </w:r>
    </w:p>
    <w:p w14:paraId="5EE65533"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relève de la </w:t>
      </w:r>
      <w:bookmarkStart w:id="0" w:name="_Hlk92728385"/>
      <w:r>
        <w:rPr>
          <w:rFonts w:ascii="Times New Roman" w:hAnsi="Times New Roman"/>
          <w:sz w:val="24"/>
        </w:rPr>
        <w:t xml:space="preserve">juridiction </w:t>
      </w:r>
      <w:bookmarkEnd w:id="0"/>
      <w:r>
        <w:rPr>
          <w:rFonts w:ascii="Times New Roman" w:hAnsi="Times New Roman"/>
          <w:sz w:val="24"/>
        </w:rPr>
        <w:t>de la plus haute juridiction nationale</w:t>
      </w:r>
    </w:p>
    <w:p w14:paraId="455F6656" w14:textId="588A9963" w:rsidR="00CB674A" w:rsidRDefault="00C061C7" w:rsidP="005F0B1B">
      <w:pPr>
        <w:pStyle w:val="Standard"/>
        <w:ind w:left="708"/>
        <w:rPr>
          <w:rFonts w:ascii="Times New Roman" w:hAnsi="Times New Roman"/>
          <w:sz w:val="24"/>
        </w:rPr>
      </w:pPr>
      <w:r>
        <w:rPr>
          <w:rFonts w:ascii="Times New Roman" w:hAnsi="Times New Roman"/>
          <w:i/>
          <w:sz w:val="24"/>
        </w:rPr>
        <w:t>c)</w:t>
      </w:r>
      <w:r>
        <w:rPr>
          <w:rFonts w:ascii="Times New Roman" w:hAnsi="Times New Roman"/>
          <w:sz w:val="24"/>
        </w:rPr>
        <w:t xml:space="preserve"> relève de la juridiction du plus haut parquet national, compétent pour régler les conflits entre les procureurs nationaux</w:t>
      </w:r>
    </w:p>
    <w:p w14:paraId="68BEAB71" w14:textId="37383641"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lastRenderedPageBreak/>
        <w:t>Q10. Un litige sur l’indemnisation de dommages causés par le Parquet européen :</w:t>
      </w:r>
    </w:p>
    <w:p w14:paraId="75C3F97F"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w:t>
      </w:r>
      <w:bookmarkStart w:id="1" w:name="_Hlk48745545"/>
      <w:r>
        <w:rPr>
          <w:rFonts w:ascii="Times New Roman" w:hAnsi="Times New Roman"/>
          <w:sz w:val="24"/>
        </w:rPr>
        <w:t>relève de la compétence des juridictions nationales de l’État où le dommage est survenu</w:t>
      </w:r>
      <w:bookmarkEnd w:id="1"/>
    </w:p>
    <w:p w14:paraId="7A47691B" w14:textId="0C557E38"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b)</w:t>
      </w:r>
      <w:r>
        <w:rPr>
          <w:rFonts w:ascii="Times New Roman" w:hAnsi="Times New Roman"/>
          <w:color w:val="70AD47" w:themeColor="accent6"/>
          <w:sz w:val="24"/>
        </w:rPr>
        <w:t xml:space="preserve"> relève de la </w:t>
      </w:r>
      <w:bookmarkStart w:id="2" w:name="_Hlk48745503"/>
      <w:r>
        <w:rPr>
          <w:rFonts w:ascii="Times New Roman" w:hAnsi="Times New Roman"/>
          <w:color w:val="70AD47" w:themeColor="accent6"/>
          <w:sz w:val="24"/>
        </w:rPr>
        <w:t>compétence de la Cour de justice – bonne réponse</w:t>
      </w:r>
    </w:p>
    <w:bookmarkEnd w:id="2"/>
    <w:p w14:paraId="20982746" w14:textId="058B33A1"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relève de la compétence des juridictions nationales de l’État européen en charge de</w:t>
      </w:r>
      <w:r w:rsidR="003D7B13">
        <w:rPr>
          <w:rFonts w:ascii="Times New Roman" w:hAnsi="Times New Roman"/>
          <w:sz w:val="24"/>
        </w:rPr>
        <w:t xml:space="preserve"> </w:t>
      </w:r>
      <w:r>
        <w:rPr>
          <w:rFonts w:ascii="Times New Roman" w:hAnsi="Times New Roman"/>
          <w:sz w:val="24"/>
        </w:rPr>
        <w:t>l’affaire</w:t>
      </w:r>
    </w:p>
    <w:p w14:paraId="2A6F3831" w14:textId="77777777" w:rsidR="00CB674A" w:rsidRPr="0022503C" w:rsidRDefault="00CB674A">
      <w:pPr>
        <w:pStyle w:val="Standard"/>
        <w:rPr>
          <w:rFonts w:ascii="Times New Roman" w:eastAsia="Segoe UI Emoji" w:hAnsi="Times New Roman" w:cs="Times New Roman"/>
          <w:sz w:val="24"/>
          <w:szCs w:val="24"/>
        </w:rPr>
      </w:pPr>
    </w:p>
    <w:p w14:paraId="07CB7962" w14:textId="60ADDF10"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Q11. Un litige concernant le personnel du Parquet européen :</w:t>
      </w:r>
    </w:p>
    <w:p w14:paraId="23FC6651" w14:textId="60EA2408"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a)</w:t>
      </w:r>
      <w:r>
        <w:rPr>
          <w:rFonts w:ascii="Times New Roman" w:hAnsi="Times New Roman"/>
          <w:color w:val="70AD47" w:themeColor="accent6"/>
          <w:sz w:val="24"/>
        </w:rPr>
        <w:t xml:space="preserve"> relève de la compétence de la Cour de justice – bonne réponse </w:t>
      </w:r>
    </w:p>
    <w:p w14:paraId="24EDF05E"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w:t>
      </w:r>
      <w:bookmarkStart w:id="3" w:name="_Hlk48746033"/>
      <w:r>
        <w:rPr>
          <w:rFonts w:ascii="Times New Roman" w:hAnsi="Times New Roman"/>
          <w:sz w:val="24"/>
        </w:rPr>
        <w:t>relève de la compétence des juridictions nationales de l’État du lieu d’affectation du personnel</w:t>
      </w:r>
      <w:bookmarkEnd w:id="3"/>
    </w:p>
    <w:p w14:paraId="572B0FCD"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relève de la compétence des juridictions nationales de l’État de la nationalité du personnel</w:t>
      </w:r>
    </w:p>
    <w:p w14:paraId="2A0A1A85" w14:textId="77777777" w:rsidR="00CB674A" w:rsidRPr="0022503C" w:rsidRDefault="00CB674A">
      <w:pPr>
        <w:pStyle w:val="Standard"/>
        <w:rPr>
          <w:rFonts w:ascii="Times New Roman" w:eastAsia="Segoe UI Emoji" w:hAnsi="Times New Roman" w:cs="Times New Roman"/>
          <w:sz w:val="24"/>
          <w:szCs w:val="24"/>
        </w:rPr>
      </w:pPr>
    </w:p>
    <w:p w14:paraId="60A81B22" w14:textId="596B4B40"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Q12. Il peut être fait appel de la décision de classement sans suite prise par le chef du Parquet européen :</w:t>
      </w:r>
    </w:p>
    <w:p w14:paraId="2C25D7BF"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devant la Commission européenne</w:t>
      </w:r>
    </w:p>
    <w:p w14:paraId="42D27F8C"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devant le Parlement européen</w:t>
      </w:r>
    </w:p>
    <w:p w14:paraId="2073EA70" w14:textId="566D45EF"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c)</w:t>
      </w:r>
      <w:r>
        <w:rPr>
          <w:rFonts w:ascii="Times New Roman" w:hAnsi="Times New Roman"/>
          <w:color w:val="70AD47" w:themeColor="accent6"/>
          <w:sz w:val="24"/>
        </w:rPr>
        <w:t xml:space="preserve"> devant la Cour de justice – bonne réponse</w:t>
      </w:r>
    </w:p>
    <w:p w14:paraId="19F59698" w14:textId="77777777" w:rsidR="00CB674A" w:rsidRPr="0022503C" w:rsidRDefault="00CB674A">
      <w:pPr>
        <w:pStyle w:val="Standard"/>
        <w:rPr>
          <w:rFonts w:ascii="Times New Roman" w:eastAsia="Segoe UI Emoji" w:hAnsi="Times New Roman" w:cs="Times New Roman"/>
          <w:sz w:val="24"/>
          <w:szCs w:val="24"/>
        </w:rPr>
      </w:pPr>
    </w:p>
    <w:p w14:paraId="7D9EF8C4" w14:textId="76919A52" w:rsidR="00CB674A" w:rsidRPr="0022503C" w:rsidRDefault="0022503C">
      <w:pPr>
        <w:pStyle w:val="Standard"/>
        <w:rPr>
          <w:rFonts w:ascii="Times New Roman" w:eastAsia="Segoe UI Emoji" w:hAnsi="Times New Roman" w:cs="Times New Roman"/>
          <w:b/>
          <w:bCs/>
          <w:sz w:val="24"/>
          <w:szCs w:val="24"/>
        </w:rPr>
      </w:pPr>
      <w:r>
        <w:rPr>
          <w:rFonts w:ascii="Times New Roman" w:hAnsi="Times New Roman"/>
          <w:b/>
          <w:sz w:val="24"/>
        </w:rPr>
        <w:t>Q13. Les décisions du Parquet européen qui affectent les droits des personnes concernées peuvent être contestées :</w:t>
      </w:r>
    </w:p>
    <w:p w14:paraId="56BA7635"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devant le Contrôleur européen de la protection des données</w:t>
      </w:r>
    </w:p>
    <w:p w14:paraId="4A55A499" w14:textId="3C1C08C5"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Pr>
          <w:rFonts w:ascii="Times New Roman" w:hAnsi="Times New Roman"/>
          <w:i/>
          <w:color w:val="70AD47" w:themeColor="accent6"/>
          <w:sz w:val="24"/>
        </w:rPr>
        <w:t>b)</w:t>
      </w:r>
      <w:r>
        <w:rPr>
          <w:rFonts w:ascii="Times New Roman" w:hAnsi="Times New Roman"/>
          <w:color w:val="70AD47" w:themeColor="accent6"/>
          <w:sz w:val="24"/>
        </w:rPr>
        <w:t xml:space="preserve"> devant la Cour de justice – bonne réponse</w:t>
      </w:r>
    </w:p>
    <w:p w14:paraId="52985726" w14:textId="77777777" w:rsidR="00CB674A" w:rsidRPr="0022503C"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devant les juridictions nationales de l'État où la violation alléguée a eu lieu</w:t>
      </w:r>
    </w:p>
    <w:p w14:paraId="39543747" w14:textId="77777777" w:rsidR="00CB674A" w:rsidRPr="0022503C" w:rsidRDefault="00CB674A">
      <w:pPr>
        <w:pStyle w:val="Standard"/>
        <w:rPr>
          <w:rFonts w:ascii="Times New Roman" w:eastAsia="Segoe UI Emoji" w:hAnsi="Times New Roman" w:cs="Times New Roman"/>
          <w:sz w:val="24"/>
          <w:szCs w:val="24"/>
        </w:rPr>
      </w:pPr>
    </w:p>
    <w:p w14:paraId="6ED97CE6" w14:textId="77777777" w:rsidR="00CB674A" w:rsidRPr="0022503C" w:rsidRDefault="00CB674A">
      <w:pPr>
        <w:pStyle w:val="Standard"/>
        <w:rPr>
          <w:rFonts w:ascii="Times New Roman" w:eastAsia="Segoe UI Emoji" w:hAnsi="Times New Roman" w:cs="Times New Roman"/>
          <w:sz w:val="24"/>
          <w:szCs w:val="24"/>
        </w:rPr>
      </w:pPr>
    </w:p>
    <w:p w14:paraId="28998927" w14:textId="77777777" w:rsidR="00CB674A" w:rsidRPr="0022503C" w:rsidRDefault="00CB674A">
      <w:pPr>
        <w:pStyle w:val="Standard"/>
        <w:rPr>
          <w:rFonts w:ascii="Times New Roman" w:eastAsia="Segoe UI Emoji" w:hAnsi="Times New Roman" w:cs="Times New Roman"/>
          <w:sz w:val="24"/>
          <w:szCs w:val="24"/>
        </w:rPr>
      </w:pPr>
    </w:p>
    <w:p w14:paraId="252F71EA" w14:textId="77777777" w:rsidR="00CB674A" w:rsidRPr="0022503C" w:rsidRDefault="00CB674A">
      <w:pPr>
        <w:pStyle w:val="Standard"/>
        <w:rPr>
          <w:rFonts w:ascii="Times New Roman" w:eastAsia="Segoe UI Emoji" w:hAnsi="Times New Roman" w:cs="Times New Roman"/>
          <w:sz w:val="24"/>
          <w:szCs w:val="24"/>
        </w:rPr>
      </w:pPr>
    </w:p>
    <w:p w14:paraId="2831E232" w14:textId="77777777" w:rsidR="00CB674A" w:rsidRDefault="00CB674A">
      <w:pPr>
        <w:pStyle w:val="Standard"/>
        <w:rPr>
          <w:rFonts w:ascii="Segoe UI Emoji" w:eastAsia="Segoe UI Emoji" w:hAnsi="Segoe UI Emoji" w:cs="Segoe UI Emoji"/>
        </w:rPr>
      </w:pPr>
    </w:p>
    <w:p w14:paraId="1CBF56E2" w14:textId="77777777" w:rsidR="00CB674A" w:rsidRDefault="00CB674A">
      <w:pPr>
        <w:pStyle w:val="Standard"/>
        <w:rPr>
          <w:rFonts w:ascii="Segoe UI Emoji" w:eastAsia="Segoe UI Emoji" w:hAnsi="Segoe UI Emoji" w:cs="Segoe UI Emoji"/>
        </w:rPr>
      </w:pPr>
    </w:p>
    <w:p w14:paraId="7374D0D9" w14:textId="77777777" w:rsidR="00CB674A" w:rsidRDefault="00CB674A">
      <w:pPr>
        <w:pStyle w:val="Standard"/>
        <w:rPr>
          <w:rFonts w:ascii="Segoe UI Emoji" w:eastAsia="Segoe UI Emoji" w:hAnsi="Segoe UI Emoji" w:cs="Segoe UI Emoji"/>
        </w:rPr>
      </w:pPr>
    </w:p>
    <w:sectPr w:rsidR="00CB674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9BE4" w14:textId="77777777" w:rsidR="00C2138A" w:rsidRDefault="00C2138A">
      <w:pPr>
        <w:spacing w:after="0" w:line="240" w:lineRule="auto"/>
      </w:pPr>
      <w:r>
        <w:separator/>
      </w:r>
    </w:p>
  </w:endnote>
  <w:endnote w:type="continuationSeparator" w:id="0">
    <w:p w14:paraId="6943CA91" w14:textId="77777777" w:rsidR="00C2138A" w:rsidRDefault="00C2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E82" w14:textId="77777777" w:rsidR="008F6D4F" w:rsidRDefault="008F6D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87071"/>
      <w:docPartObj>
        <w:docPartGallery w:val="Page Numbers (Bottom of Page)"/>
        <w:docPartUnique/>
      </w:docPartObj>
    </w:sdtPr>
    <w:sdtEndPr/>
    <w:sdtContent>
      <w:p w14:paraId="65A5DB59" w14:textId="7F8D3669" w:rsidR="008F6D4F" w:rsidRDefault="008F6D4F">
        <w:pPr>
          <w:pStyle w:val="Pieddepage"/>
          <w:jc w:val="right"/>
        </w:pPr>
        <w:r>
          <w:fldChar w:fldCharType="begin"/>
        </w:r>
        <w:r>
          <w:instrText>PAGE   \* MERGEFORMAT</w:instrText>
        </w:r>
        <w:r>
          <w:fldChar w:fldCharType="separate"/>
        </w:r>
        <w:r>
          <w:t>2</w:t>
        </w:r>
        <w:r>
          <w:fldChar w:fldCharType="end"/>
        </w:r>
      </w:p>
    </w:sdtContent>
  </w:sdt>
  <w:p w14:paraId="2C681B18" w14:textId="77777777" w:rsidR="008F6D4F" w:rsidRDefault="008F6D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6654" w14:textId="77777777" w:rsidR="008F6D4F" w:rsidRDefault="008F6D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95BC" w14:textId="77777777" w:rsidR="00C2138A" w:rsidRDefault="00C2138A">
      <w:pPr>
        <w:spacing w:after="0" w:line="240" w:lineRule="auto"/>
      </w:pPr>
      <w:r>
        <w:rPr>
          <w:color w:val="000000"/>
        </w:rPr>
        <w:separator/>
      </w:r>
    </w:p>
  </w:footnote>
  <w:footnote w:type="continuationSeparator" w:id="0">
    <w:p w14:paraId="42AC3848" w14:textId="77777777" w:rsidR="00C2138A" w:rsidRDefault="00C2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D77A" w14:textId="77777777" w:rsidR="008F6D4F" w:rsidRDefault="008F6D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1DB4" w14:textId="77777777" w:rsidR="008F6D4F" w:rsidRDefault="008F6D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FFDB" w14:textId="77777777" w:rsidR="008F6D4F" w:rsidRDefault="008F6D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4A"/>
    <w:rsid w:val="000D7559"/>
    <w:rsid w:val="001F121A"/>
    <w:rsid w:val="0022503C"/>
    <w:rsid w:val="003D7B13"/>
    <w:rsid w:val="003F02DF"/>
    <w:rsid w:val="00427311"/>
    <w:rsid w:val="0048300F"/>
    <w:rsid w:val="005F0B1B"/>
    <w:rsid w:val="00836EAB"/>
    <w:rsid w:val="00846AE2"/>
    <w:rsid w:val="008F6D4F"/>
    <w:rsid w:val="00907895"/>
    <w:rsid w:val="00A35698"/>
    <w:rsid w:val="00C061C7"/>
    <w:rsid w:val="00C2138A"/>
    <w:rsid w:val="00CB674A"/>
    <w:rsid w:val="00D1421A"/>
    <w:rsid w:val="00D2578C"/>
    <w:rsid w:val="00EE5F4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29D"/>
  <w15:docId w15:val="{6D09A6CF-6E93-4AF3-86D7-AEE3254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22503C"/>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22503C"/>
    <w:rPr>
      <w:b/>
      <w:bCs/>
    </w:rPr>
  </w:style>
  <w:style w:type="paragraph" w:styleId="En-tte">
    <w:name w:val="header"/>
    <w:basedOn w:val="Normal"/>
    <w:link w:val="En-tteCar"/>
    <w:uiPriority w:val="99"/>
    <w:unhideWhenUsed/>
    <w:rsid w:val="008F6D4F"/>
    <w:pPr>
      <w:tabs>
        <w:tab w:val="center" w:pos="4536"/>
        <w:tab w:val="right" w:pos="9072"/>
      </w:tabs>
      <w:spacing w:after="0" w:line="240" w:lineRule="auto"/>
    </w:pPr>
  </w:style>
  <w:style w:type="character" w:customStyle="1" w:styleId="En-tteCar">
    <w:name w:val="En-tête Car"/>
    <w:basedOn w:val="Policepardfaut"/>
    <w:link w:val="En-tte"/>
    <w:uiPriority w:val="99"/>
    <w:rsid w:val="008F6D4F"/>
  </w:style>
  <w:style w:type="paragraph" w:styleId="Pieddepage">
    <w:name w:val="footer"/>
    <w:basedOn w:val="Normal"/>
    <w:link w:val="PieddepageCar"/>
    <w:uiPriority w:val="99"/>
    <w:unhideWhenUsed/>
    <w:rsid w:val="008F6D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EF5B6547-2E9D-49FC-951B-52320FB4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8345F-2703-4137-9D62-5A70BCAC1186}">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1FE10F97-BAE0-45E2-8489-11FBC8DCD12D}">
  <ds:schemaRefs>
    <ds:schemaRef ds:uri="http://schemas.microsoft.com/sharepoint/v3/contenttype/forms"/>
  </ds:schemaRefs>
</ds:datastoreItem>
</file>

<file path=customXml/itemProps4.xml><?xml version="1.0" encoding="utf-8"?>
<ds:datastoreItem xmlns:ds="http://schemas.openxmlformats.org/officeDocument/2006/customXml" ds:itemID="{4ED070EE-A672-4961-884C-BA674107FD5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2022-02-03T07:29:00Z</dcterms:created>
  <dcterms:modified xsi:type="dcterms:W3CDTF">2022-02-03T07:29:00Z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